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798B" w14:textId="488C35E6" w:rsidR="000D4006" w:rsidRDefault="000A0669">
      <w:r w:rsidRPr="000A0669">
        <w:t>Resultatbudget 2024/2025</w:t>
      </w:r>
    </w:p>
    <w:p w14:paraId="254B4AF4" w14:textId="77777777" w:rsidR="000A0669" w:rsidRDefault="000A0669"/>
    <w:p w14:paraId="309F76DB" w14:textId="77777777" w:rsidR="000A0669" w:rsidRPr="000A0669" w:rsidRDefault="000A0669" w:rsidP="000A0669">
      <w:r w:rsidRPr="000A0669">
        <w:rPr>
          <w:b/>
          <w:bCs/>
        </w:rPr>
        <w:t>Intäkter</w:t>
      </w:r>
      <w:r w:rsidRPr="000A0669">
        <w:rPr>
          <w:b/>
          <w:bCs/>
        </w:rPr>
        <w:tab/>
      </w:r>
      <w:r w:rsidRPr="000A0669">
        <w:rPr>
          <w:b/>
          <w:bCs/>
        </w:rPr>
        <w:tab/>
      </w:r>
      <w:r w:rsidRPr="000A0669">
        <w:rPr>
          <w:b/>
          <w:bCs/>
        </w:rPr>
        <w:tab/>
      </w:r>
      <w:r w:rsidRPr="000A0669">
        <w:rPr>
          <w:b/>
          <w:bCs/>
        </w:rPr>
        <w:tab/>
      </w:r>
      <w:r w:rsidRPr="000A0669">
        <w:rPr>
          <w:b/>
          <w:bCs/>
        </w:rPr>
        <w:tab/>
        <w:t>Kostnader</w:t>
      </w:r>
    </w:p>
    <w:p w14:paraId="709F77B6" w14:textId="1FACFDBA" w:rsidR="000A0669" w:rsidRPr="000A0669" w:rsidRDefault="000A0669" w:rsidP="000A0669">
      <w:r w:rsidRPr="000A0669">
        <w:t>Medlems- &amp; Deltagare avg. 1 125 000</w:t>
      </w:r>
      <w:r w:rsidRPr="000A0669">
        <w:tab/>
      </w:r>
      <w:r w:rsidRPr="000A0669">
        <w:tab/>
        <w:t xml:space="preserve">Istidhyror/loka </w:t>
      </w:r>
      <w:r w:rsidRPr="000A0669">
        <w:tab/>
        <w:t>525 000</w:t>
      </w:r>
    </w:p>
    <w:p w14:paraId="30C07E40" w14:textId="22B348F3" w:rsidR="000A0669" w:rsidRPr="000A0669" w:rsidRDefault="000A0669" w:rsidP="000A0669">
      <w:pPr>
        <w:rPr>
          <w:lang w:val="en-US"/>
        </w:rPr>
      </w:pPr>
      <w:r w:rsidRPr="000A0669">
        <w:rPr>
          <w:lang w:val="en-US"/>
        </w:rPr>
        <w:t>Caf</w:t>
      </w:r>
      <w:r w:rsidRPr="000A0669">
        <w:rPr>
          <w:lang w:val="en-US"/>
        </w:rPr>
        <w:t>e</w:t>
      </w:r>
      <w:r w:rsidRPr="000A0669">
        <w:rPr>
          <w:lang w:val="en-US"/>
        </w:rPr>
        <w:tab/>
      </w:r>
      <w:r w:rsidRPr="000A0669">
        <w:rPr>
          <w:lang w:val="en-US"/>
        </w:rPr>
        <w:tab/>
        <w:t xml:space="preserve">     </w:t>
      </w:r>
      <w:r w:rsidRPr="000A0669">
        <w:rPr>
          <w:lang w:val="en-US"/>
        </w:rPr>
        <w:t>425 000</w:t>
      </w:r>
      <w:r w:rsidRPr="000A0669">
        <w:rPr>
          <w:lang w:val="en-US"/>
        </w:rPr>
        <w:tab/>
      </w:r>
      <w:r w:rsidRPr="000A0669">
        <w:rPr>
          <w:lang w:val="en-US"/>
        </w:rPr>
        <w:tab/>
        <w:t>Café</w:t>
      </w:r>
      <w:r w:rsidRPr="000A0669">
        <w:rPr>
          <w:lang w:val="en-US"/>
        </w:rPr>
        <w:tab/>
      </w:r>
      <w:r w:rsidRPr="000A0669">
        <w:rPr>
          <w:lang w:val="en-US"/>
        </w:rPr>
        <w:tab/>
        <w:t>225 000</w:t>
      </w:r>
    </w:p>
    <w:p w14:paraId="63B81DE9" w14:textId="681DD284" w:rsidR="000A0669" w:rsidRPr="000A0669" w:rsidRDefault="000A0669" w:rsidP="000A0669">
      <w:pPr>
        <w:rPr>
          <w:lang w:val="en-US"/>
        </w:rPr>
      </w:pPr>
      <w:proofErr w:type="spellStart"/>
      <w:r w:rsidRPr="000A0669">
        <w:rPr>
          <w:lang w:val="en-US"/>
        </w:rPr>
        <w:t>Sponsring</w:t>
      </w:r>
      <w:proofErr w:type="spellEnd"/>
      <w:r w:rsidRPr="000A0669">
        <w:rPr>
          <w:lang w:val="en-US"/>
        </w:rPr>
        <w:tab/>
      </w:r>
      <w:r w:rsidRPr="000A0669">
        <w:rPr>
          <w:lang w:val="en-US"/>
        </w:rPr>
        <w:tab/>
        <w:t xml:space="preserve">     500 000</w:t>
      </w:r>
      <w:r w:rsidRPr="000A0669">
        <w:rPr>
          <w:lang w:val="en-US"/>
        </w:rPr>
        <w:tab/>
      </w:r>
      <w:r w:rsidRPr="000A0669">
        <w:rPr>
          <w:lang w:val="en-US"/>
        </w:rPr>
        <w:tab/>
        <w:t>Material</w:t>
      </w:r>
      <w:r w:rsidRPr="000A0669">
        <w:rPr>
          <w:lang w:val="en-US"/>
        </w:rPr>
        <w:tab/>
      </w:r>
      <w:r w:rsidRPr="000A0669">
        <w:rPr>
          <w:lang w:val="en-US"/>
        </w:rPr>
        <w:tab/>
        <w:t>300 000</w:t>
      </w:r>
    </w:p>
    <w:p w14:paraId="72E1CDAB" w14:textId="3B22569C" w:rsidR="000A0669" w:rsidRPr="000A0669" w:rsidRDefault="000A0669" w:rsidP="000A0669">
      <w:r w:rsidRPr="000A0669">
        <w:t>NB - Cup</w:t>
      </w:r>
      <w:r w:rsidRPr="000A0669">
        <w:tab/>
        <w:t xml:space="preserve">       </w:t>
      </w:r>
      <w:r w:rsidRPr="000A0669">
        <w:tab/>
        <w:t xml:space="preserve">     475 000</w:t>
      </w:r>
      <w:r w:rsidRPr="000A0669">
        <w:tab/>
      </w:r>
      <w:r w:rsidRPr="000A0669">
        <w:tab/>
        <w:t>NB – Cup</w:t>
      </w:r>
      <w:r w:rsidRPr="000A0669">
        <w:tab/>
        <w:t xml:space="preserve">              </w:t>
      </w:r>
      <w:r w:rsidRPr="000A0669">
        <w:t xml:space="preserve">        </w:t>
      </w:r>
      <w:r w:rsidRPr="000A0669">
        <w:t>275</w:t>
      </w:r>
      <w:r w:rsidRPr="000A0669">
        <w:t> </w:t>
      </w:r>
      <w:r w:rsidRPr="000A0669">
        <w:t>000</w:t>
      </w:r>
      <w:r w:rsidRPr="000A0669">
        <w:t xml:space="preserve"> </w:t>
      </w:r>
      <w:r w:rsidRPr="000A0669">
        <w:t>Sommarhockey</w:t>
      </w:r>
      <w:r w:rsidRPr="000A0669">
        <w:tab/>
        <w:t xml:space="preserve">     275 000</w:t>
      </w:r>
      <w:r w:rsidRPr="000A0669">
        <w:tab/>
      </w:r>
      <w:r w:rsidRPr="000A0669">
        <w:tab/>
        <w:t xml:space="preserve">Sommarhockey               </w:t>
      </w:r>
      <w:r>
        <w:t xml:space="preserve">   </w:t>
      </w:r>
      <w:r w:rsidRPr="000A0669">
        <w:t>125 000</w:t>
      </w:r>
    </w:p>
    <w:p w14:paraId="5B9C02EB" w14:textId="2F616AF3" w:rsidR="000A0669" w:rsidRPr="000A0669" w:rsidRDefault="000A0669" w:rsidP="000A0669">
      <w:r w:rsidRPr="000A0669">
        <w:t>Bidrag</w:t>
      </w:r>
      <w:r w:rsidRPr="000A0669">
        <w:tab/>
      </w:r>
      <w:r w:rsidRPr="000A0669">
        <w:tab/>
        <w:t xml:space="preserve">     400 000</w:t>
      </w:r>
      <w:r w:rsidRPr="000A0669">
        <w:tab/>
      </w:r>
      <w:r w:rsidRPr="000A0669">
        <w:tab/>
        <w:t xml:space="preserve">Buss </w:t>
      </w:r>
      <w:r w:rsidRPr="000A0669">
        <w:tab/>
      </w:r>
      <w:r w:rsidRPr="000A0669">
        <w:tab/>
      </w:r>
      <w:r>
        <w:t xml:space="preserve"> </w:t>
      </w:r>
      <w:r w:rsidRPr="000A0669">
        <w:t>600 000</w:t>
      </w:r>
    </w:p>
    <w:p w14:paraId="0B28DD7F" w14:textId="5C8C0EF6" w:rsidR="000A0669" w:rsidRPr="000A0669" w:rsidRDefault="000A0669" w:rsidP="000A0669">
      <w:r w:rsidRPr="000A0669">
        <w:t>Övriga intäkter</w:t>
      </w:r>
      <w:r w:rsidRPr="000A0669">
        <w:tab/>
        <w:t xml:space="preserve">     500 000</w:t>
      </w:r>
      <w:r w:rsidRPr="000A0669">
        <w:tab/>
      </w:r>
      <w:r w:rsidRPr="000A0669">
        <w:tab/>
        <w:t>Personal/Doma</w:t>
      </w:r>
      <w:r>
        <w:t xml:space="preserve">re             </w:t>
      </w:r>
      <w:r w:rsidRPr="000A0669">
        <w:t>1 000 000</w:t>
      </w:r>
    </w:p>
    <w:p w14:paraId="39C608BC" w14:textId="4B7216EE" w:rsidR="000A0669" w:rsidRPr="000A0669" w:rsidRDefault="000A0669" w:rsidP="000A0669">
      <w:r w:rsidRPr="000A0669">
        <w:tab/>
      </w:r>
      <w:r w:rsidRPr="000A0669">
        <w:tab/>
      </w:r>
      <w:r w:rsidRPr="000A0669">
        <w:tab/>
      </w:r>
      <w:r w:rsidRPr="000A0669">
        <w:tab/>
        <w:t xml:space="preserve">Övriga kostnader </w:t>
      </w:r>
      <w:r w:rsidRPr="000A0669">
        <w:tab/>
      </w:r>
      <w:r>
        <w:t xml:space="preserve"> </w:t>
      </w:r>
      <w:r w:rsidRPr="000A0669">
        <w:t>600 000</w:t>
      </w:r>
    </w:p>
    <w:p w14:paraId="7D49E597" w14:textId="7C8B293D" w:rsidR="000A0669" w:rsidRPr="000A0669" w:rsidRDefault="000A0669" w:rsidP="000A0669">
      <w:r w:rsidRPr="000A0669">
        <w:rPr>
          <w:b/>
          <w:bCs/>
        </w:rPr>
        <w:t xml:space="preserve">Summa intäkter   </w:t>
      </w:r>
      <w:r>
        <w:rPr>
          <w:b/>
          <w:bCs/>
        </w:rPr>
        <w:t xml:space="preserve">              </w:t>
      </w:r>
      <w:r w:rsidRPr="000A0669">
        <w:rPr>
          <w:b/>
          <w:bCs/>
        </w:rPr>
        <w:t xml:space="preserve"> 3 700 000</w:t>
      </w:r>
      <w:r w:rsidRPr="000A0669">
        <w:rPr>
          <w:b/>
          <w:bCs/>
        </w:rPr>
        <w:tab/>
      </w:r>
      <w:r w:rsidRPr="000A0669">
        <w:rPr>
          <w:b/>
          <w:bCs/>
        </w:rPr>
        <w:tab/>
        <w:t xml:space="preserve">Summa kostnader    </w:t>
      </w:r>
      <w:r>
        <w:rPr>
          <w:b/>
          <w:bCs/>
        </w:rPr>
        <w:t xml:space="preserve">      </w:t>
      </w:r>
      <w:r w:rsidRPr="000A0669">
        <w:rPr>
          <w:b/>
          <w:bCs/>
        </w:rPr>
        <w:t>3 650 000</w:t>
      </w:r>
    </w:p>
    <w:p w14:paraId="16F9D522" w14:textId="180CA491" w:rsidR="000A0669" w:rsidRPr="000A0669" w:rsidRDefault="000A0669" w:rsidP="000A0669">
      <w:r w:rsidRPr="000A0669">
        <w:tab/>
      </w:r>
      <w:r w:rsidRPr="000A0669">
        <w:tab/>
      </w:r>
      <w:r>
        <w:tab/>
      </w:r>
      <w:r w:rsidRPr="000A0669">
        <w:rPr>
          <w:b/>
          <w:bCs/>
        </w:rPr>
        <w:t>Resultat</w:t>
      </w:r>
      <w:r w:rsidRPr="000A0669">
        <w:t xml:space="preserve">    </w:t>
      </w:r>
      <w:r w:rsidRPr="000A0669">
        <w:rPr>
          <w:b/>
          <w:bCs/>
        </w:rPr>
        <w:t>50</w:t>
      </w:r>
      <w:r>
        <w:rPr>
          <w:b/>
          <w:bCs/>
        </w:rPr>
        <w:t> </w:t>
      </w:r>
      <w:r w:rsidRPr="000A0669">
        <w:rPr>
          <w:b/>
          <w:bCs/>
        </w:rPr>
        <w:t>000</w:t>
      </w:r>
    </w:p>
    <w:p w14:paraId="4D8E783A" w14:textId="77777777" w:rsidR="000A0669" w:rsidRDefault="000A0669"/>
    <w:sectPr w:rsidR="000A0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176F"/>
    <w:multiLevelType w:val="hybridMultilevel"/>
    <w:tmpl w:val="88BAD4E4"/>
    <w:lvl w:ilvl="0" w:tplc="AF26DF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C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4A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AB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8A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85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AB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ABD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46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71F"/>
    <w:multiLevelType w:val="hybridMultilevel"/>
    <w:tmpl w:val="DBB076B2"/>
    <w:lvl w:ilvl="0" w:tplc="2488E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B0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AE8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5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8BE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EB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24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45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4E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7129539">
    <w:abstractNumId w:val="1"/>
  </w:num>
  <w:num w:numId="2" w16cid:durableId="133156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69"/>
    <w:rsid w:val="000A0669"/>
    <w:rsid w:val="000D4006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FA1E"/>
  <w15:chartTrackingRefBased/>
  <w15:docId w15:val="{094CAB58-806E-45FF-914A-3FE959B3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0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A5B6E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A5B6E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0669"/>
    <w:pPr>
      <w:keepNext/>
      <w:keepLines/>
      <w:spacing w:before="160" w:after="80"/>
      <w:outlineLvl w:val="2"/>
    </w:pPr>
    <w:rPr>
      <w:rFonts w:eastAsiaTheme="majorEastAsia" w:cstheme="majorBidi"/>
      <w:color w:val="2A5B6E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0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A5B6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0669"/>
    <w:pPr>
      <w:keepNext/>
      <w:keepLines/>
      <w:spacing w:before="80" w:after="40"/>
      <w:outlineLvl w:val="4"/>
    </w:pPr>
    <w:rPr>
      <w:rFonts w:eastAsiaTheme="majorEastAsia" w:cstheme="majorBidi"/>
      <w:color w:val="2A5B6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0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0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0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0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0669"/>
    <w:rPr>
      <w:rFonts w:asciiTheme="majorHAnsi" w:eastAsiaTheme="majorEastAsia" w:hAnsiTheme="majorHAnsi" w:cstheme="majorBidi"/>
      <w:color w:val="2A5B6E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0669"/>
    <w:rPr>
      <w:rFonts w:asciiTheme="majorHAnsi" w:eastAsiaTheme="majorEastAsia" w:hAnsiTheme="majorHAnsi" w:cstheme="majorBidi"/>
      <w:color w:val="2A5B6E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0669"/>
    <w:rPr>
      <w:rFonts w:eastAsiaTheme="majorEastAsia" w:cstheme="majorBidi"/>
      <w:color w:val="2A5B6E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0669"/>
    <w:rPr>
      <w:rFonts w:eastAsiaTheme="majorEastAsia" w:cstheme="majorBidi"/>
      <w:i/>
      <w:iCs/>
      <w:color w:val="2A5B6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0669"/>
    <w:rPr>
      <w:rFonts w:eastAsiaTheme="majorEastAsia" w:cstheme="majorBidi"/>
      <w:color w:val="2A5B6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066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066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066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066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0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0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0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066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066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0669"/>
    <w:rPr>
      <w:i/>
      <w:iCs/>
      <w:color w:val="2A5B6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0669"/>
    <w:pPr>
      <w:pBdr>
        <w:top w:val="single" w:sz="4" w:space="10" w:color="2A5B6E" w:themeColor="accent1" w:themeShade="BF"/>
        <w:bottom w:val="single" w:sz="4" w:space="10" w:color="2A5B6E" w:themeColor="accent1" w:themeShade="BF"/>
      </w:pBdr>
      <w:spacing w:before="360" w:after="360"/>
      <w:ind w:left="864" w:right="864"/>
      <w:jc w:val="center"/>
    </w:pPr>
    <w:rPr>
      <w:i/>
      <w:iCs/>
      <w:color w:val="2A5B6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0669"/>
    <w:rPr>
      <w:i/>
      <w:iCs/>
      <w:color w:val="2A5B6E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0669"/>
    <w:rPr>
      <w:b/>
      <w:bCs/>
      <w:smallCaps/>
      <w:color w:val="2A5B6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3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8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9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2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8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0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8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4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H2">
  <a:themeElements>
    <a:clrScheme name="Landshypotek">
      <a:dk1>
        <a:sysClr val="windowText" lastClr="000000"/>
      </a:dk1>
      <a:lt1>
        <a:sysClr val="window" lastClr="FFFFFF"/>
      </a:lt1>
      <a:dk2>
        <a:srgbClr val="4195B4"/>
      </a:dk2>
      <a:lt2>
        <a:srgbClr val="EEECE1"/>
      </a:lt2>
      <a:accent1>
        <a:srgbClr val="387B94"/>
      </a:accent1>
      <a:accent2>
        <a:srgbClr val="D7E6EA"/>
      </a:accent2>
      <a:accent3>
        <a:srgbClr val="265164"/>
      </a:accent3>
      <a:accent4>
        <a:srgbClr val="829E62"/>
      </a:accent4>
      <a:accent5>
        <a:srgbClr val="D2E0BE"/>
      </a:accent5>
      <a:accent6>
        <a:srgbClr val="677B4C"/>
      </a:accent6>
      <a:hlink>
        <a:srgbClr val="0000FF"/>
      </a:hlink>
      <a:folHlink>
        <a:srgbClr val="800080"/>
      </a:folHlink>
    </a:clrScheme>
    <a:fontScheme name="Landshypote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LH Ockra">
      <a:srgbClr val="E39E4A"/>
    </a:custClr>
    <a:custClr name="LH Ljus ockra">
      <a:srgbClr val="EAB676"/>
    </a:custClr>
    <a:custClr name="LH Rödbrun">
      <a:srgbClr val="6E321D"/>
    </a:custClr>
    <a:custClr name="LH Mörkbrun">
      <a:srgbClr val="4F2418"/>
    </a:custClr>
  </a:custClrLst>
  <a:extLst>
    <a:ext uri="{05A4C25C-085E-4340-85A3-A5531E510DB2}">
      <thm15:themeFamily xmlns:thm15="http://schemas.microsoft.com/office/thememl/2012/main" name="LH2" id="{8057D742-609D-4B84-B6B4-D634FD99A631}" vid="{850DD261-D9C7-4D4F-B994-7BC15462B43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472</Characters>
  <Application>Microsoft Office Word</Application>
  <DocSecurity>0</DocSecurity>
  <Lines>3</Lines>
  <Paragraphs>1</Paragraphs>
  <ScaleCrop>false</ScaleCrop>
  <Company>Landshypotek Bank AB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Andersson</dc:creator>
  <cp:keywords/>
  <dc:description/>
  <cp:lastModifiedBy>Johan Andersson</cp:lastModifiedBy>
  <cp:revision>1</cp:revision>
  <dcterms:created xsi:type="dcterms:W3CDTF">2024-06-11T08:08:00Z</dcterms:created>
  <dcterms:modified xsi:type="dcterms:W3CDTF">2024-06-11T08:13:00Z</dcterms:modified>
</cp:coreProperties>
</file>